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1" w:rsidRPr="0082375E" w:rsidRDefault="00AB5231" w:rsidP="00AB5231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mk-MK"/>
        </w:rPr>
        <w:drawing>
          <wp:inline distT="0" distB="0" distL="0" distR="0" wp14:anchorId="0BA7DF91" wp14:editId="4238622B">
            <wp:extent cx="2146935" cy="1534795"/>
            <wp:effectExtent l="0" t="0" r="5715" b="8255"/>
            <wp:docPr id="2" name="Picture 2" descr="Logo CUP-MK POSLEDN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UP-MK POSLEDN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31" w:rsidRPr="0082375E" w:rsidRDefault="00AB5231" w:rsidP="00AB5231">
      <w:pPr>
        <w:tabs>
          <w:tab w:val="left" w:pos="284"/>
        </w:tabs>
        <w:jc w:val="both"/>
        <w:rPr>
          <w:rFonts w:ascii="Calibri" w:hAnsi="Calibri" w:cs="Calibri"/>
          <w:color w:val="000000"/>
          <w:spacing w:val="3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</w:rPr>
        <w:t xml:space="preserve">За потребите на проектот </w:t>
      </w:r>
      <w:r w:rsidRPr="00200B43">
        <w:rPr>
          <w:rFonts w:ascii="Calibri" w:hAnsi="Calibri" w:cs="Calibri"/>
          <w:noProof/>
          <w:sz w:val="22"/>
          <w:szCs w:val="22"/>
        </w:rPr>
        <w:t>„Истражувачко новинарство -  чувар на демократијата и човековите права” кој се реализира во рамките на „IPA Civil Society Organizations under the Civil Society Facility and Media Freedom Action 2014”</w:t>
      </w:r>
      <w:r w:rsidRPr="0082375E">
        <w:rPr>
          <w:rFonts w:ascii="Calibri" w:hAnsi="Calibri" w:cs="Calibri"/>
          <w:sz w:val="22"/>
          <w:szCs w:val="22"/>
        </w:rPr>
        <w:t xml:space="preserve">, Центарот за управување со промени - ЦУП испраќа: </w:t>
      </w:r>
    </w:p>
    <w:p w:rsidR="00AB5231" w:rsidRPr="0082375E" w:rsidRDefault="00AB5231" w:rsidP="00AB523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AB5231" w:rsidRPr="0082375E" w:rsidRDefault="00AB5231" w:rsidP="00AB523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AB5231" w:rsidRPr="00FB43AF" w:rsidRDefault="00AB5231" w:rsidP="00AB523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82375E">
        <w:rPr>
          <w:rFonts w:ascii="Calibri" w:hAnsi="Calibri" w:cs="Calibri"/>
          <w:b/>
          <w:sz w:val="22"/>
          <w:szCs w:val="22"/>
        </w:rPr>
        <w:t xml:space="preserve">ПОКАНА ЗА ДОСТАВУВАЊЕ ПОНУДИ </w:t>
      </w:r>
      <w:r>
        <w:rPr>
          <w:rFonts w:ascii="Calibri" w:hAnsi="Calibri" w:cs="Calibri"/>
          <w:b/>
          <w:noProof/>
          <w:sz w:val="22"/>
          <w:szCs w:val="22"/>
          <w:lang w:val="en-US"/>
        </w:rPr>
        <w:t>0</w:t>
      </w:r>
      <w:r>
        <w:rPr>
          <w:rFonts w:ascii="Calibri" w:hAnsi="Calibri" w:cs="Calibri"/>
          <w:b/>
          <w:noProof/>
          <w:sz w:val="22"/>
          <w:szCs w:val="22"/>
        </w:rPr>
        <w:t>4</w:t>
      </w:r>
      <w:r>
        <w:rPr>
          <w:rFonts w:ascii="Calibri" w:hAnsi="Calibri" w:cs="Calibri"/>
          <w:b/>
          <w:noProof/>
          <w:sz w:val="22"/>
          <w:szCs w:val="22"/>
          <w:lang w:val="en-US"/>
        </w:rPr>
        <w:t>/201</w:t>
      </w:r>
      <w:r>
        <w:rPr>
          <w:rFonts w:ascii="Calibri" w:hAnsi="Calibri" w:cs="Calibri"/>
          <w:b/>
          <w:noProof/>
          <w:sz w:val="22"/>
          <w:szCs w:val="22"/>
        </w:rPr>
        <w:t>7</w:t>
      </w:r>
    </w:p>
    <w:p w:rsidR="00AB5231" w:rsidRDefault="00AB5231" w:rsidP="00AB523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82375E">
        <w:rPr>
          <w:rFonts w:ascii="Calibri" w:hAnsi="Calibri" w:cs="Calibri"/>
          <w:b/>
          <w:sz w:val="22"/>
          <w:szCs w:val="22"/>
        </w:rPr>
        <w:t xml:space="preserve">за набавка на </w:t>
      </w:r>
      <w:r w:rsidRPr="00200B43">
        <w:rPr>
          <w:rFonts w:ascii="Calibri" w:hAnsi="Calibri" w:cs="Calibri"/>
          <w:b/>
          <w:noProof/>
          <w:sz w:val="22"/>
          <w:szCs w:val="22"/>
        </w:rPr>
        <w:t>услуги</w:t>
      </w:r>
      <w:r w:rsidRPr="0082375E">
        <w:rPr>
          <w:rFonts w:ascii="Calibri" w:hAnsi="Calibri" w:cs="Calibri"/>
          <w:b/>
          <w:sz w:val="22"/>
          <w:szCs w:val="22"/>
        </w:rPr>
        <w:t xml:space="preserve"> </w:t>
      </w:r>
    </w:p>
    <w:p w:rsidR="00AB5231" w:rsidRDefault="00AB5231" w:rsidP="00AB523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FB43AF">
        <w:rPr>
          <w:rFonts w:ascii="Calibri" w:hAnsi="Calibri" w:cs="Calibri"/>
          <w:b/>
          <w:sz w:val="22"/>
          <w:szCs w:val="22"/>
        </w:rPr>
        <w:t xml:space="preserve">– </w:t>
      </w:r>
      <w:r w:rsidRPr="008404BD">
        <w:rPr>
          <w:rFonts w:ascii="Calibri" w:hAnsi="Calibri" w:cs="Calibri"/>
          <w:b/>
          <w:sz w:val="22"/>
          <w:szCs w:val="22"/>
        </w:rPr>
        <w:t xml:space="preserve">1 експерт за анализа на перцепцијата за медиумите од страна на граѓаните и нивната доверба во македонските медиуми </w:t>
      </w:r>
    </w:p>
    <w:p w:rsidR="00AB5231" w:rsidRDefault="00AB5231" w:rsidP="00AB523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8404BD">
        <w:rPr>
          <w:rFonts w:ascii="Calibri" w:hAnsi="Calibri" w:cs="Calibri"/>
          <w:b/>
          <w:sz w:val="22"/>
          <w:szCs w:val="22"/>
        </w:rPr>
        <w:t>и 1 експерт за улогата на етичкото и професионално новинарство</w:t>
      </w:r>
    </w:p>
    <w:p w:rsidR="00AB5231" w:rsidRDefault="00AB5231" w:rsidP="00AB523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B5231" w:rsidRPr="00FB43AF" w:rsidRDefault="00AB5231" w:rsidP="00AB5231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250"/>
        <w:ind w:right="14"/>
        <w:jc w:val="both"/>
        <w:rPr>
          <w:rFonts w:ascii="Calibri" w:hAnsi="Calibri" w:cs="Calibri"/>
          <w:sz w:val="22"/>
          <w:szCs w:val="22"/>
          <w:lang w:val="mk-MK"/>
        </w:rPr>
      </w:pPr>
      <w:r w:rsidRPr="00FB43AF">
        <w:rPr>
          <w:rFonts w:ascii="Calibri" w:hAnsi="Calibri" w:cs="Calibri"/>
          <w:sz w:val="22"/>
          <w:szCs w:val="22"/>
          <w:lang w:val="mk-MK"/>
        </w:rPr>
        <w:t xml:space="preserve">Центарот за управување со промени - ЦУП во рамките на проектот </w:t>
      </w:r>
      <w:r w:rsidRPr="00FB43AF">
        <w:rPr>
          <w:rFonts w:ascii="Calibri" w:hAnsi="Calibri" w:cs="Calibri"/>
          <w:noProof/>
          <w:sz w:val="22"/>
          <w:szCs w:val="22"/>
        </w:rPr>
        <w:t>„Истражувачко новинарство -  чувар на демократијата и човековите права” кој се реализира во рамките на „IPA Civil Society Organizations under the Civil Society Facility and Media Freedom Action 2014”</w:t>
      </w:r>
      <w:r w:rsidRPr="00FB43AF">
        <w:rPr>
          <w:rFonts w:ascii="Calibri" w:hAnsi="Calibri" w:cs="Calibri"/>
          <w:sz w:val="22"/>
          <w:szCs w:val="22"/>
          <w:lang w:val="mk-MK"/>
        </w:rPr>
        <w:t xml:space="preserve">, има потреба од набавка на </w:t>
      </w:r>
      <w:r w:rsidRPr="008404BD">
        <w:rPr>
          <w:rFonts w:ascii="Calibri" w:hAnsi="Calibri" w:cs="Calibri"/>
          <w:noProof/>
          <w:sz w:val="22"/>
          <w:szCs w:val="22"/>
        </w:rPr>
        <w:t>1 експерт за анализа на перцепцијата за медиумите од страна на граѓаните и нивната доверба во македонските медиуми и 1 експерт за улогата на етичкото и професионално новинарство</w:t>
      </w:r>
      <w:r w:rsidRPr="00FB43AF">
        <w:rPr>
          <w:rFonts w:ascii="Calibri" w:hAnsi="Calibri" w:cs="Calibri"/>
          <w:sz w:val="22"/>
          <w:szCs w:val="22"/>
          <w:lang w:val="mk-MK"/>
        </w:rPr>
        <w:t xml:space="preserve">. </w:t>
      </w:r>
    </w:p>
    <w:p w:rsidR="00AB5231" w:rsidRPr="0082375E" w:rsidRDefault="00AB5231" w:rsidP="00AB5231">
      <w:pPr>
        <w:pStyle w:val="ListParagraph"/>
        <w:shd w:val="clear" w:color="auto" w:fill="FFFFFF"/>
        <w:tabs>
          <w:tab w:val="left" w:pos="284"/>
        </w:tabs>
        <w:spacing w:before="250"/>
        <w:ind w:left="0" w:right="14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sz w:val="22"/>
          <w:szCs w:val="22"/>
          <w:lang w:val="mk-MK"/>
        </w:rPr>
        <w:t xml:space="preserve">Подетален опис на бараните </w:t>
      </w:r>
      <w:r w:rsidRPr="00200B43">
        <w:rPr>
          <w:rFonts w:ascii="Calibri" w:hAnsi="Calibri" w:cs="Calibri"/>
          <w:noProof/>
          <w:sz w:val="22"/>
          <w:szCs w:val="22"/>
        </w:rPr>
        <w:t>услуги</w:t>
      </w:r>
      <w:r w:rsidRPr="0082375E">
        <w:rPr>
          <w:rFonts w:ascii="Calibri" w:hAnsi="Calibri" w:cs="Calibri"/>
          <w:sz w:val="22"/>
          <w:szCs w:val="22"/>
          <w:lang w:val="mk-MK"/>
        </w:rPr>
        <w:t xml:space="preserve"> се наоѓа во </w:t>
      </w:r>
      <w:proofErr w:type="spellStart"/>
      <w:r>
        <w:rPr>
          <w:rFonts w:ascii="Calibri" w:hAnsi="Calibri" w:cs="Calibri"/>
          <w:sz w:val="22"/>
          <w:szCs w:val="22"/>
          <w:lang w:val="mk-MK"/>
        </w:rPr>
        <w:t>Проектната</w:t>
      </w:r>
      <w:proofErr w:type="spellEnd"/>
      <w:r>
        <w:rPr>
          <w:rFonts w:ascii="Calibri" w:hAnsi="Calibri" w:cs="Calibri"/>
          <w:sz w:val="22"/>
          <w:szCs w:val="22"/>
          <w:lang w:val="mk-MK"/>
        </w:rPr>
        <w:t xml:space="preserve"> задача, документ кој е во прилог на</w:t>
      </w:r>
      <w:r w:rsidRPr="0082375E">
        <w:rPr>
          <w:rFonts w:ascii="Calibri" w:hAnsi="Calibri" w:cs="Calibri"/>
          <w:sz w:val="22"/>
          <w:szCs w:val="22"/>
          <w:lang w:val="mk-MK"/>
        </w:rPr>
        <w:t xml:space="preserve"> овој повик.     </w:t>
      </w:r>
    </w:p>
    <w:p w:rsidR="00AB5231" w:rsidRPr="0082375E" w:rsidRDefault="00AB5231" w:rsidP="00AB5231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sz w:val="22"/>
          <w:szCs w:val="22"/>
          <w:lang w:val="mk-MK"/>
        </w:rPr>
        <w:t>Фази на спроведување (прелиминарна временска рамка)</w:t>
      </w:r>
    </w:p>
    <w:p w:rsidR="00AB5231" w:rsidRDefault="00AB5231" w:rsidP="00AB5231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b/>
          <w:i/>
          <w:sz w:val="22"/>
          <w:szCs w:val="22"/>
          <w:lang w:val="mk-MK"/>
        </w:rPr>
      </w:pPr>
      <w:r w:rsidRPr="000F1806">
        <w:rPr>
          <w:rFonts w:ascii="Calibri" w:hAnsi="Calibri" w:cs="Calibri"/>
          <w:sz w:val="22"/>
          <w:szCs w:val="22"/>
          <w:lang w:val="mk-MK"/>
        </w:rPr>
        <w:t xml:space="preserve">Потребно е да се испорачаат </w:t>
      </w:r>
      <w:r w:rsidRPr="000F1806">
        <w:rPr>
          <w:rFonts w:ascii="Calibri" w:hAnsi="Calibri" w:cs="Calibri"/>
          <w:noProof/>
          <w:sz w:val="22"/>
          <w:szCs w:val="22"/>
        </w:rPr>
        <w:t>услуги</w:t>
      </w:r>
      <w:r w:rsidRPr="000F1806">
        <w:rPr>
          <w:rFonts w:ascii="Calibri" w:hAnsi="Calibri" w:cs="Calibri"/>
          <w:sz w:val="22"/>
          <w:szCs w:val="22"/>
          <w:lang w:val="mk-MK"/>
        </w:rPr>
        <w:t xml:space="preserve">те во период од вкупно </w:t>
      </w:r>
      <w:r>
        <w:rPr>
          <w:rFonts w:ascii="Calibri" w:hAnsi="Calibri" w:cs="Calibri"/>
          <w:sz w:val="22"/>
          <w:szCs w:val="22"/>
          <w:lang w:val="mk-MK"/>
        </w:rPr>
        <w:t xml:space="preserve">16 </w:t>
      </w:r>
      <w:r w:rsidRPr="000F1806">
        <w:rPr>
          <w:rFonts w:ascii="Calibri" w:hAnsi="Calibri" w:cs="Calibri"/>
          <w:noProof/>
          <w:sz w:val="22"/>
          <w:szCs w:val="22"/>
          <w:lang w:val="mk-MK"/>
        </w:rPr>
        <w:t>работни дена на екс</w:t>
      </w:r>
      <w:r>
        <w:rPr>
          <w:rFonts w:ascii="Calibri" w:hAnsi="Calibri" w:cs="Calibri"/>
          <w:noProof/>
          <w:sz w:val="22"/>
          <w:szCs w:val="22"/>
          <w:lang w:val="mk-MK"/>
        </w:rPr>
        <w:t>п</w:t>
      </w:r>
      <w:r w:rsidRPr="000F1806">
        <w:rPr>
          <w:rFonts w:ascii="Calibri" w:hAnsi="Calibri" w:cs="Calibri"/>
          <w:noProof/>
          <w:sz w:val="22"/>
          <w:szCs w:val="22"/>
          <w:lang w:val="mk-MK"/>
        </w:rPr>
        <w:t xml:space="preserve">ертите, </w:t>
      </w:r>
      <w:r>
        <w:rPr>
          <w:rFonts w:ascii="Calibri" w:hAnsi="Calibri" w:cs="Calibri"/>
          <w:noProof/>
          <w:sz w:val="22"/>
          <w:szCs w:val="22"/>
          <w:lang w:val="mk-MK"/>
        </w:rPr>
        <w:t xml:space="preserve">односно </w:t>
      </w:r>
      <w:r w:rsidRPr="004D7F55">
        <w:rPr>
          <w:rFonts w:ascii="Calibri" w:hAnsi="Calibri" w:cs="Calibri"/>
          <w:noProof/>
          <w:sz w:val="22"/>
          <w:szCs w:val="22"/>
          <w:u w:val="single"/>
          <w:lang w:val="mk-MK"/>
        </w:rPr>
        <w:t>по 8 работни дена за секој експерт</w:t>
      </w:r>
      <w:r>
        <w:rPr>
          <w:rFonts w:ascii="Calibri" w:hAnsi="Calibri" w:cs="Calibri"/>
          <w:noProof/>
          <w:sz w:val="22"/>
          <w:szCs w:val="22"/>
          <w:lang w:val="mk-MK"/>
        </w:rPr>
        <w:t xml:space="preserve">, </w:t>
      </w:r>
      <w:r w:rsidRPr="000F1806">
        <w:rPr>
          <w:rFonts w:ascii="Calibri" w:hAnsi="Calibri" w:cs="Calibri"/>
          <w:noProof/>
          <w:sz w:val="22"/>
          <w:szCs w:val="22"/>
          <w:lang w:val="mk-MK"/>
        </w:rPr>
        <w:t xml:space="preserve">а најдоцна до </w:t>
      </w:r>
      <w:r>
        <w:rPr>
          <w:rFonts w:ascii="Calibri" w:hAnsi="Calibri" w:cs="Calibri"/>
          <w:noProof/>
          <w:sz w:val="22"/>
          <w:szCs w:val="22"/>
          <w:lang w:val="mk-MK"/>
        </w:rPr>
        <w:t>ноември 2017 година</w:t>
      </w:r>
      <w:r w:rsidRPr="000F1806">
        <w:rPr>
          <w:rFonts w:ascii="Calibri" w:hAnsi="Calibri" w:cs="Calibri"/>
          <w:sz w:val="22"/>
          <w:szCs w:val="22"/>
          <w:lang w:val="mk-MK"/>
        </w:rPr>
        <w:t>.</w:t>
      </w:r>
      <w:r w:rsidRPr="0082375E">
        <w:rPr>
          <w:rFonts w:ascii="Calibri" w:hAnsi="Calibri" w:cs="Calibri"/>
          <w:sz w:val="22"/>
          <w:szCs w:val="22"/>
          <w:lang w:val="mk-MK"/>
        </w:rPr>
        <w:t xml:space="preserve"> </w:t>
      </w:r>
    </w:p>
    <w:p w:rsidR="00AB5231" w:rsidRPr="000C2B90" w:rsidRDefault="00AB5231" w:rsidP="00AB5231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sz w:val="22"/>
          <w:szCs w:val="22"/>
          <w:lang w:val="mk-MK"/>
        </w:rPr>
        <w:t xml:space="preserve">Ве охрабруваме да ни доставите Ваша понуда за горенаведената покана. Понудата треба да ги содржи следните елементи: </w:t>
      </w:r>
    </w:p>
    <w:p w:rsidR="00AB5231" w:rsidRDefault="00AB5231" w:rsidP="00AB5231">
      <w:pPr>
        <w:numPr>
          <w:ilvl w:val="0"/>
          <w:numId w:val="2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200B43">
        <w:rPr>
          <w:rFonts w:ascii="Calibri" w:hAnsi="Calibri" w:cs="Calibri"/>
          <w:bCs/>
          <w:iCs/>
          <w:noProof/>
          <w:color w:val="000000"/>
          <w:spacing w:val="3"/>
        </w:rPr>
        <w:t>Кратка биографија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 xml:space="preserve"> (CV)</w:t>
      </w:r>
    </w:p>
    <w:p w:rsidR="00AB5231" w:rsidRDefault="00AB5231" w:rsidP="00AB5231">
      <w:pPr>
        <w:numPr>
          <w:ilvl w:val="0"/>
          <w:numId w:val="2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8357C7">
        <w:rPr>
          <w:rFonts w:ascii="Calibri" w:hAnsi="Calibri" w:cs="Calibri"/>
          <w:bCs/>
          <w:iCs/>
          <w:noProof/>
          <w:color w:val="000000"/>
          <w:spacing w:val="3"/>
        </w:rPr>
        <w:t xml:space="preserve">Листа со референци за 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 xml:space="preserve">претходни </w:t>
      </w:r>
      <w:r w:rsidRPr="008357C7">
        <w:rPr>
          <w:rFonts w:ascii="Calibri" w:hAnsi="Calibri" w:cs="Calibri"/>
          <w:bCs/>
          <w:iCs/>
          <w:noProof/>
          <w:color w:val="000000"/>
          <w:spacing w:val="3"/>
        </w:rPr>
        <w:t xml:space="preserve">активности 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>на експертот п</w:t>
      </w:r>
      <w:r w:rsidRPr="008357C7">
        <w:rPr>
          <w:rFonts w:ascii="Calibri" w:hAnsi="Calibri" w:cs="Calibri"/>
          <w:bCs/>
          <w:iCs/>
          <w:noProof/>
          <w:color w:val="000000"/>
          <w:spacing w:val="3"/>
        </w:rPr>
        <w:t xml:space="preserve">оврзани со 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>предметот на анализата која се предвидува во ов</w:t>
      </w:r>
      <w:r w:rsidRPr="008357C7">
        <w:rPr>
          <w:rFonts w:ascii="Calibri" w:hAnsi="Calibri" w:cs="Calibri"/>
          <w:bCs/>
          <w:iCs/>
          <w:noProof/>
          <w:color w:val="000000"/>
          <w:spacing w:val="3"/>
        </w:rPr>
        <w:t>ој повик</w:t>
      </w:r>
    </w:p>
    <w:p w:rsidR="00AB5231" w:rsidRPr="003122F4" w:rsidRDefault="00AB5231" w:rsidP="00AB5231">
      <w:pPr>
        <w:numPr>
          <w:ilvl w:val="0"/>
          <w:numId w:val="2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>
        <w:rPr>
          <w:rFonts w:ascii="Calibri" w:hAnsi="Calibri" w:cs="Calibri"/>
          <w:bCs/>
          <w:iCs/>
          <w:color w:val="000000"/>
          <w:spacing w:val="3"/>
        </w:rPr>
        <w:t>Предлог методологија за планираната анализа</w:t>
      </w:r>
    </w:p>
    <w:p w:rsidR="00AB5231" w:rsidRPr="0082375E" w:rsidRDefault="00AB5231" w:rsidP="00AB5231">
      <w:pPr>
        <w:widowControl w:val="0"/>
        <w:tabs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p w:rsidR="00AB5231" w:rsidRPr="0082375E" w:rsidRDefault="00AB5231" w:rsidP="00AB5231">
      <w:pPr>
        <w:widowControl w:val="0"/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</w:rPr>
        <w:t>Финансискиот дел од понудата треба да биде во следниот формат:</w:t>
      </w:r>
    </w:p>
    <w:p w:rsidR="00AB5231" w:rsidRPr="0082375E" w:rsidRDefault="00AB5231" w:rsidP="00AB5231">
      <w:pPr>
        <w:widowControl w:val="0"/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tbl>
      <w:tblPr>
        <w:tblW w:w="905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969"/>
      </w:tblGrid>
      <w:tr w:rsidR="00AB5231" w:rsidRPr="009D6011" w:rsidTr="0052581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Ставка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Опис на производ/услуга</w:t>
            </w:r>
          </w:p>
        </w:tc>
        <w:tc>
          <w:tcPr>
            <w:tcW w:w="1275" w:type="dxa"/>
            <w:vAlign w:val="center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Експертски ден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2375E">
              <w:rPr>
                <w:rFonts w:ascii="Calibri" w:hAnsi="Calibri" w:cs="Calibri"/>
                <w:sz w:val="22"/>
                <w:szCs w:val="22"/>
              </w:rPr>
              <w:t>Единечна</w:t>
            </w:r>
            <w:proofErr w:type="spellEnd"/>
            <w:r w:rsidRPr="0082375E">
              <w:rPr>
                <w:rFonts w:ascii="Calibri" w:hAnsi="Calibri" w:cs="Calibri"/>
                <w:sz w:val="22"/>
                <w:szCs w:val="22"/>
              </w:rPr>
              <w:t xml:space="preserve"> цена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 xml:space="preserve">Вкупна цена </w:t>
            </w:r>
          </w:p>
        </w:tc>
      </w:tr>
      <w:tr w:rsidR="00AB5231" w:rsidRPr="009D6011" w:rsidTr="00525811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B5231" w:rsidRPr="00B11E6E" w:rsidRDefault="00AB5231" w:rsidP="00525811">
            <w:pPr>
              <w:widowControl w:val="0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Методологија/подготовка</w:t>
            </w:r>
          </w:p>
        </w:tc>
        <w:tc>
          <w:tcPr>
            <w:tcW w:w="1275" w:type="dxa"/>
          </w:tcPr>
          <w:p w:rsidR="00AB5231" w:rsidRPr="00B11E6E" w:rsidRDefault="00AB5231" w:rsidP="00525811">
            <w:pPr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31" w:rsidRPr="009D6011" w:rsidTr="00525811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B5231" w:rsidRPr="00B11E6E" w:rsidRDefault="00AB5231" w:rsidP="00525811">
            <w:pPr>
              <w:widowControl w:val="0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Подготовка на анализата</w:t>
            </w:r>
          </w:p>
        </w:tc>
        <w:tc>
          <w:tcPr>
            <w:tcW w:w="1275" w:type="dxa"/>
          </w:tcPr>
          <w:p w:rsidR="00AB5231" w:rsidRPr="00B11E6E" w:rsidRDefault="00AB5231" w:rsidP="00525811">
            <w:pPr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31" w:rsidRPr="009D6011" w:rsidTr="00525811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AB5231" w:rsidRPr="00B11E6E" w:rsidRDefault="00AB5231" w:rsidP="00525811">
            <w:pPr>
              <w:widowControl w:val="0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Подготовка на препораки</w:t>
            </w:r>
          </w:p>
        </w:tc>
        <w:tc>
          <w:tcPr>
            <w:tcW w:w="1275" w:type="dxa"/>
          </w:tcPr>
          <w:p w:rsidR="00AB5231" w:rsidRPr="008404BD" w:rsidRDefault="00AB5231" w:rsidP="0052581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31" w:rsidRPr="009D6011" w:rsidTr="00525811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AB5231" w:rsidRPr="00B11E6E" w:rsidRDefault="00AB5231" w:rsidP="00525811">
            <w:pPr>
              <w:widowControl w:val="0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Презентирање во јавност</w:t>
            </w:r>
          </w:p>
        </w:tc>
        <w:tc>
          <w:tcPr>
            <w:tcW w:w="1275" w:type="dxa"/>
          </w:tcPr>
          <w:p w:rsidR="00AB5231" w:rsidRPr="00B11E6E" w:rsidRDefault="00AB5231" w:rsidP="0052581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AB5231" w:rsidRPr="0082375E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31" w:rsidRPr="00794654" w:rsidTr="00525811">
        <w:trPr>
          <w:trHeight w:val="25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B5231" w:rsidRPr="00794654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65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ВКУПНО</w:t>
            </w:r>
          </w:p>
        </w:tc>
        <w:tc>
          <w:tcPr>
            <w:tcW w:w="1275" w:type="dxa"/>
          </w:tcPr>
          <w:p w:rsidR="00AB5231" w:rsidRPr="00794654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B5231" w:rsidRPr="00794654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</w:tcPr>
          <w:p w:rsidR="00AB5231" w:rsidRPr="00794654" w:rsidRDefault="00AB5231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5231" w:rsidRPr="0082375E" w:rsidRDefault="00AB5231" w:rsidP="00AB5231">
      <w:pPr>
        <w:tabs>
          <w:tab w:val="left" w:pos="284"/>
        </w:tabs>
        <w:rPr>
          <w:rFonts w:ascii="Calibri" w:hAnsi="Calibri" w:cs="Calibri"/>
          <w:b/>
          <w:i/>
          <w:sz w:val="22"/>
          <w:szCs w:val="22"/>
        </w:rPr>
      </w:pPr>
    </w:p>
    <w:p w:rsidR="00AB5231" w:rsidRPr="0082375E" w:rsidRDefault="00AB5231" w:rsidP="00AB5231">
      <w:pPr>
        <w:pStyle w:val="BodyTextIndent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11" w:firstLine="0"/>
        <w:jc w:val="both"/>
        <w:rPr>
          <w:rFonts w:ascii="Calibri" w:hAnsi="Calibri" w:cs="Calibri"/>
          <w:szCs w:val="22"/>
        </w:rPr>
      </w:pPr>
      <w:r w:rsidRPr="0082375E">
        <w:rPr>
          <w:rFonts w:ascii="Calibri" w:hAnsi="Calibri" w:cs="Calibri"/>
          <w:szCs w:val="22"/>
        </w:rPr>
        <w:t xml:space="preserve">Изборот на </w:t>
      </w:r>
      <w:r>
        <w:rPr>
          <w:rFonts w:ascii="Calibri" w:hAnsi="Calibri" w:cs="Calibri"/>
          <w:szCs w:val="22"/>
        </w:rPr>
        <w:t>експертите</w:t>
      </w:r>
      <w:r w:rsidRPr="0082375E">
        <w:rPr>
          <w:rFonts w:ascii="Calibri" w:hAnsi="Calibri" w:cs="Calibri"/>
          <w:szCs w:val="22"/>
        </w:rPr>
        <w:t xml:space="preserve"> ќе се изврши по пат на </w:t>
      </w:r>
      <w:proofErr w:type="spellStart"/>
      <w:r w:rsidRPr="0082375E">
        <w:rPr>
          <w:rFonts w:ascii="Calibri" w:hAnsi="Calibri" w:cs="Calibri"/>
          <w:szCs w:val="22"/>
        </w:rPr>
        <w:t>евалуација</w:t>
      </w:r>
      <w:proofErr w:type="spellEnd"/>
      <w:r w:rsidRPr="0082375E">
        <w:rPr>
          <w:rFonts w:ascii="Calibri" w:hAnsi="Calibri" w:cs="Calibri"/>
          <w:szCs w:val="22"/>
        </w:rPr>
        <w:t xml:space="preserve"> на квалитативната и на финансиската понуда. </w:t>
      </w:r>
    </w:p>
    <w:p w:rsidR="00AB5231" w:rsidRPr="0082375E" w:rsidRDefault="00AB5231" w:rsidP="00AB5231">
      <w:pPr>
        <w:shd w:val="clear" w:color="auto" w:fill="FFFFFF"/>
        <w:tabs>
          <w:tab w:val="left" w:pos="284"/>
        </w:tabs>
        <w:spacing w:before="250" w:after="120"/>
        <w:ind w:right="11"/>
        <w:jc w:val="both"/>
        <w:rPr>
          <w:rFonts w:ascii="Calibri" w:hAnsi="Calibri" w:cs="Calibri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  <w:lang w:val="en-US"/>
        </w:rPr>
        <w:t>5</w:t>
      </w:r>
      <w:r w:rsidRPr="0082375E">
        <w:rPr>
          <w:rFonts w:ascii="Calibri" w:hAnsi="Calibri" w:cs="Calibri"/>
          <w:sz w:val="22"/>
          <w:szCs w:val="22"/>
        </w:rPr>
        <w:t>. Услови и начин на плаќање</w:t>
      </w:r>
    </w:p>
    <w:p w:rsidR="00AB5231" w:rsidRPr="0082375E" w:rsidRDefault="00AB5231" w:rsidP="00AB5231">
      <w:pPr>
        <w:shd w:val="clear" w:color="auto" w:fill="FFFFFF"/>
        <w:tabs>
          <w:tab w:val="left" w:pos="284"/>
        </w:tabs>
        <w:ind w:right="11"/>
        <w:jc w:val="both"/>
        <w:rPr>
          <w:rFonts w:ascii="Calibri" w:hAnsi="Calibri" w:cs="Calibri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</w:rPr>
        <w:t xml:space="preserve">Плаќање: </w:t>
      </w:r>
      <w:r w:rsidRPr="00200B43">
        <w:rPr>
          <w:rFonts w:ascii="Calibri" w:hAnsi="Calibri" w:cs="Calibri"/>
          <w:noProof/>
          <w:sz w:val="22"/>
          <w:szCs w:val="22"/>
        </w:rPr>
        <w:t>100% по целосно извршување на услугата</w:t>
      </w:r>
      <w:r w:rsidRPr="0082375E">
        <w:rPr>
          <w:rFonts w:ascii="Calibri" w:hAnsi="Calibri" w:cs="Calibri"/>
          <w:sz w:val="22"/>
          <w:szCs w:val="22"/>
        </w:rPr>
        <w:t>.</w:t>
      </w:r>
    </w:p>
    <w:p w:rsidR="00AB5231" w:rsidRPr="0082375E" w:rsidRDefault="00AB5231" w:rsidP="00AB5231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B5231" w:rsidRPr="0082375E" w:rsidRDefault="00AB5231" w:rsidP="00AB5231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sz w:val="22"/>
          <w:szCs w:val="22"/>
          <w:lang w:val="en-US"/>
        </w:rPr>
        <w:t xml:space="preserve">6. </w:t>
      </w:r>
      <w:r w:rsidRPr="0082375E">
        <w:rPr>
          <w:rFonts w:ascii="Calibri" w:hAnsi="Calibri" w:cs="Calibri"/>
          <w:sz w:val="22"/>
          <w:szCs w:val="22"/>
          <w:lang w:val="mk-MK"/>
        </w:rPr>
        <w:t xml:space="preserve">Набавката е </w:t>
      </w:r>
      <w:r w:rsidRPr="008404BD">
        <w:rPr>
          <w:rFonts w:ascii="Calibri" w:hAnsi="Calibri" w:cs="Calibri"/>
          <w:b/>
          <w:noProof/>
          <w:sz w:val="22"/>
          <w:szCs w:val="22"/>
        </w:rPr>
        <w:t>неделива</w:t>
      </w:r>
      <w:r w:rsidRPr="0082375E">
        <w:rPr>
          <w:rFonts w:ascii="Calibri" w:hAnsi="Calibri" w:cs="Calibri"/>
          <w:sz w:val="22"/>
          <w:szCs w:val="22"/>
          <w:lang w:val="mk-MK"/>
        </w:rPr>
        <w:t>.</w:t>
      </w:r>
    </w:p>
    <w:p w:rsidR="00AB5231" w:rsidRPr="0082375E" w:rsidRDefault="00AB5231" w:rsidP="00AB5231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B5231" w:rsidRPr="0082375E" w:rsidRDefault="00AB5231" w:rsidP="00AB5231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bCs/>
          <w:sz w:val="22"/>
          <w:szCs w:val="22"/>
          <w:lang w:val="en-US"/>
        </w:rPr>
        <w:t xml:space="preserve">7. </w:t>
      </w:r>
      <w:r w:rsidRPr="0082375E">
        <w:rPr>
          <w:rFonts w:ascii="Calibri" w:hAnsi="Calibri" w:cs="Calibri"/>
          <w:sz w:val="22"/>
          <w:szCs w:val="22"/>
          <w:lang w:val="mk-MK"/>
        </w:rPr>
        <w:t>Начин на доставување на понудите</w:t>
      </w:r>
    </w:p>
    <w:p w:rsidR="00AB5231" w:rsidRPr="0082375E" w:rsidRDefault="00AB5231" w:rsidP="00AB523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AB5231" w:rsidRPr="008357C7" w:rsidRDefault="00AB5231" w:rsidP="00AB523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 w:rsidRPr="008357C7">
        <w:rPr>
          <w:rFonts w:ascii="Calibri" w:hAnsi="Calibri" w:cs="Calibri"/>
          <w:b/>
          <w:sz w:val="22"/>
          <w:szCs w:val="22"/>
        </w:rPr>
        <w:t xml:space="preserve">Понудата се доставува </w:t>
      </w:r>
      <w:r>
        <w:rPr>
          <w:rFonts w:ascii="Calibri" w:hAnsi="Calibri" w:cs="Calibri"/>
          <w:b/>
          <w:sz w:val="22"/>
          <w:szCs w:val="22"/>
        </w:rPr>
        <w:t xml:space="preserve">електронски до следните адреси: </w:t>
      </w:r>
      <w:hyperlink r:id="rId9" w:history="1">
        <w:r w:rsidRPr="00900C61">
          <w:rPr>
            <w:rStyle w:val="Hyperlink"/>
            <w:rFonts w:ascii="Calibri" w:hAnsi="Calibri" w:cs="Calibri"/>
            <w:b/>
            <w:sz w:val="22"/>
            <w:szCs w:val="22"/>
            <w:lang w:val="en-US"/>
          </w:rPr>
          <w:t>info@cup.org.mk</w:t>
        </w:r>
      </w:hyperlink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и </w:t>
      </w:r>
      <w:hyperlink r:id="rId10" w:history="1">
        <w:r w:rsidRPr="00900C61">
          <w:rPr>
            <w:rStyle w:val="Hyperlink"/>
            <w:rFonts w:ascii="Calibri" w:hAnsi="Calibri" w:cs="Calibri"/>
            <w:b/>
            <w:sz w:val="22"/>
            <w:szCs w:val="22"/>
            <w:lang w:val="en-US"/>
          </w:rPr>
          <w:t>iskra.belcheva@cup.org.mk</w:t>
        </w:r>
      </w:hyperlink>
      <w:r w:rsidRPr="008357C7">
        <w:rPr>
          <w:rFonts w:ascii="Calibri" w:hAnsi="Calibri" w:cs="Calibri"/>
          <w:b/>
          <w:sz w:val="22"/>
          <w:szCs w:val="22"/>
          <w:lang w:val="en-US"/>
        </w:rPr>
        <w:t xml:space="preserve">. </w:t>
      </w:r>
    </w:p>
    <w:p w:rsidR="00AB5231" w:rsidRPr="008357C7" w:rsidRDefault="00AB5231" w:rsidP="00AB523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AB5231" w:rsidRPr="008357C7" w:rsidRDefault="00AB5231" w:rsidP="00AB5231">
      <w:pPr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357C7">
        <w:rPr>
          <w:rFonts w:ascii="Calibri" w:hAnsi="Calibri" w:cs="Calibri"/>
          <w:b/>
          <w:sz w:val="22"/>
          <w:szCs w:val="22"/>
        </w:rPr>
        <w:t xml:space="preserve">Краен рок на доставување на понудите е до </w:t>
      </w:r>
      <w:r>
        <w:rPr>
          <w:rFonts w:ascii="Calibri" w:hAnsi="Calibri" w:cs="Calibri"/>
          <w:b/>
          <w:sz w:val="22"/>
          <w:szCs w:val="22"/>
        </w:rPr>
        <w:t>24.04.2017</w:t>
      </w:r>
      <w:r w:rsidRPr="008357C7">
        <w:rPr>
          <w:rFonts w:ascii="Calibri" w:hAnsi="Calibri" w:cs="Calibri"/>
          <w:b/>
          <w:sz w:val="22"/>
          <w:szCs w:val="22"/>
        </w:rPr>
        <w:t xml:space="preserve"> година</w:t>
      </w:r>
      <w:r w:rsidRPr="008357C7">
        <w:rPr>
          <w:rFonts w:ascii="Calibri" w:hAnsi="Calibri" w:cs="Calibri"/>
          <w:b/>
          <w:bCs/>
          <w:sz w:val="22"/>
          <w:szCs w:val="22"/>
        </w:rPr>
        <w:t xml:space="preserve"> до </w:t>
      </w:r>
      <w:r>
        <w:rPr>
          <w:rFonts w:ascii="Calibri" w:hAnsi="Calibri" w:cs="Calibri"/>
          <w:b/>
          <w:bCs/>
          <w:noProof/>
          <w:sz w:val="22"/>
          <w:szCs w:val="22"/>
          <w:lang w:val="en-US"/>
        </w:rPr>
        <w:t>1</w:t>
      </w:r>
      <w:r>
        <w:rPr>
          <w:rFonts w:ascii="Calibri" w:hAnsi="Calibri" w:cs="Calibri"/>
          <w:b/>
          <w:bCs/>
          <w:noProof/>
          <w:sz w:val="22"/>
          <w:szCs w:val="22"/>
        </w:rPr>
        <w:t>2</w:t>
      </w:r>
      <w:r w:rsidRPr="008357C7">
        <w:rPr>
          <w:rFonts w:ascii="Calibri" w:hAnsi="Calibri" w:cs="Calibri"/>
          <w:b/>
          <w:bCs/>
          <w:noProof/>
          <w:sz w:val="22"/>
          <w:szCs w:val="22"/>
          <w:lang w:val="en-US"/>
        </w:rPr>
        <w:t>:00</w:t>
      </w:r>
      <w:r w:rsidRPr="008357C7">
        <w:rPr>
          <w:rFonts w:ascii="Calibri" w:hAnsi="Calibri" w:cs="Calibri"/>
          <w:b/>
          <w:bCs/>
          <w:sz w:val="22"/>
          <w:szCs w:val="22"/>
        </w:rPr>
        <w:t xml:space="preserve"> часот.</w:t>
      </w:r>
    </w:p>
    <w:p w:rsidR="00AB5231" w:rsidRPr="008357C7" w:rsidRDefault="00AB5231" w:rsidP="00AB523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AB5231" w:rsidRPr="0082375E" w:rsidRDefault="00AB5231" w:rsidP="00AB523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</w:rPr>
        <w:t xml:space="preserve">Понудите што ќе пристигнат по наведениот рок, како и оние кои не се изработени според пропозициите на повикот, нема да бидат земени предвид. Секој </w:t>
      </w:r>
      <w:r>
        <w:rPr>
          <w:rFonts w:ascii="Calibri" w:hAnsi="Calibri" w:cs="Calibri"/>
          <w:sz w:val="22"/>
          <w:szCs w:val="22"/>
        </w:rPr>
        <w:t xml:space="preserve">експерт </w:t>
      </w:r>
      <w:proofErr w:type="spellStart"/>
      <w:r w:rsidRPr="0082375E">
        <w:rPr>
          <w:rFonts w:ascii="Calibri" w:hAnsi="Calibri" w:cs="Calibri"/>
          <w:sz w:val="22"/>
          <w:szCs w:val="22"/>
        </w:rPr>
        <w:t>понудувач</w:t>
      </w:r>
      <w:proofErr w:type="spellEnd"/>
      <w:r w:rsidRPr="0082375E">
        <w:rPr>
          <w:rFonts w:ascii="Calibri" w:hAnsi="Calibri" w:cs="Calibri"/>
          <w:sz w:val="22"/>
          <w:szCs w:val="22"/>
        </w:rPr>
        <w:t xml:space="preserve"> може да учествува само со една понуда</w:t>
      </w:r>
      <w:r>
        <w:rPr>
          <w:rFonts w:ascii="Calibri" w:hAnsi="Calibri" w:cs="Calibri"/>
          <w:sz w:val="22"/>
          <w:szCs w:val="22"/>
        </w:rPr>
        <w:t>, односно за само една од експертските позиции</w:t>
      </w:r>
      <w:r w:rsidRPr="0082375E">
        <w:rPr>
          <w:rFonts w:ascii="Calibri" w:hAnsi="Calibri" w:cs="Calibri"/>
          <w:sz w:val="22"/>
          <w:szCs w:val="22"/>
        </w:rPr>
        <w:t>.</w:t>
      </w:r>
    </w:p>
    <w:p w:rsidR="00AB5231" w:rsidRPr="0082375E" w:rsidRDefault="00AB5231" w:rsidP="00AB523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AB5231" w:rsidRPr="0082375E" w:rsidRDefault="00AB5231" w:rsidP="00AB523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</w:rPr>
        <w:t>Сите дополнителни појаснувања може да се добијат преку адресата на е-пошта на ЦУП,</w:t>
      </w:r>
      <w:r w:rsidRPr="0082375E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1" w:history="1">
        <w:r w:rsidRPr="0082375E">
          <w:rPr>
            <w:rStyle w:val="Hyperlink"/>
            <w:rFonts w:ascii="Calibri" w:hAnsi="Calibri" w:cs="Calibri"/>
            <w:sz w:val="22"/>
            <w:szCs w:val="22"/>
            <w:lang w:val="en-US"/>
          </w:rPr>
          <w:t>info@cup.org.mk</w:t>
        </w:r>
      </w:hyperlink>
      <w:r w:rsidRPr="0082375E">
        <w:rPr>
          <w:rFonts w:ascii="Calibri" w:hAnsi="Calibri" w:cs="Calibri"/>
          <w:sz w:val="22"/>
          <w:szCs w:val="22"/>
        </w:rPr>
        <w:t xml:space="preserve">, најдоцна до </w:t>
      </w:r>
      <w:r>
        <w:rPr>
          <w:rFonts w:ascii="Calibri" w:hAnsi="Calibri" w:cs="Calibri"/>
          <w:sz w:val="22"/>
          <w:szCs w:val="22"/>
        </w:rPr>
        <w:t>20.04</w:t>
      </w:r>
      <w:r>
        <w:rPr>
          <w:rFonts w:ascii="Calibri" w:hAnsi="Calibri" w:cs="Calibri"/>
          <w:noProof/>
          <w:sz w:val="22"/>
          <w:szCs w:val="22"/>
          <w:lang w:val="en-US"/>
        </w:rPr>
        <w:t>.201</w:t>
      </w:r>
      <w:r>
        <w:rPr>
          <w:rFonts w:ascii="Calibri" w:hAnsi="Calibri" w:cs="Calibri"/>
          <w:noProof/>
          <w:sz w:val="22"/>
          <w:szCs w:val="22"/>
        </w:rPr>
        <w:t>7</w:t>
      </w:r>
      <w:r w:rsidRPr="0082375E">
        <w:rPr>
          <w:rFonts w:ascii="Calibri" w:hAnsi="Calibri" w:cs="Calibri"/>
          <w:sz w:val="22"/>
          <w:szCs w:val="22"/>
        </w:rPr>
        <w:t xml:space="preserve"> година.</w:t>
      </w:r>
    </w:p>
    <w:p w:rsidR="00AB5231" w:rsidRPr="0082375E" w:rsidRDefault="00AB5231" w:rsidP="00AB523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AB5231" w:rsidRPr="0082375E" w:rsidRDefault="00AB5231" w:rsidP="00AB523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lang w:val="en-US"/>
        </w:rPr>
      </w:pPr>
      <w:r w:rsidRPr="0082375E">
        <w:rPr>
          <w:rFonts w:ascii="Calibri" w:hAnsi="Calibri" w:cs="Calibri"/>
          <w:sz w:val="22"/>
          <w:szCs w:val="22"/>
        </w:rPr>
        <w:t>Рок на важност на понудата: најмалку 30 дена</w:t>
      </w:r>
      <w:r w:rsidRPr="0082375E">
        <w:rPr>
          <w:rFonts w:ascii="Calibri" w:hAnsi="Calibri" w:cs="Calibri"/>
          <w:sz w:val="22"/>
          <w:szCs w:val="22"/>
          <w:lang w:val="en-US"/>
        </w:rPr>
        <w:t>.</w:t>
      </w:r>
    </w:p>
    <w:sectPr w:rsidR="00AB5231" w:rsidRPr="0082375E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E1" w:rsidRDefault="00DD2CE1">
      <w:r>
        <w:separator/>
      </w:r>
    </w:p>
  </w:endnote>
  <w:endnote w:type="continuationSeparator" w:id="0">
    <w:p w:rsidR="00DD2CE1" w:rsidRDefault="00DD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A7" w:rsidRPr="0082375E" w:rsidRDefault="00AB5231" w:rsidP="0082375E">
    <w:pPr>
      <w:pStyle w:val="Footer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82375E">
      <w:rPr>
        <w:rFonts w:ascii="Calibri" w:hAnsi="Calibri" w:cs="Calibri"/>
        <w:sz w:val="22"/>
        <w:szCs w:val="22"/>
      </w:rPr>
      <w:fldChar w:fldCharType="begin"/>
    </w:r>
    <w:r w:rsidRPr="0082375E">
      <w:rPr>
        <w:rFonts w:ascii="Calibri" w:hAnsi="Calibri" w:cs="Calibri"/>
        <w:sz w:val="22"/>
        <w:szCs w:val="22"/>
      </w:rPr>
      <w:instrText xml:space="preserve"> PAGE   \* MERGEFORMAT </w:instrText>
    </w:r>
    <w:r w:rsidRPr="0082375E">
      <w:rPr>
        <w:rFonts w:ascii="Calibri" w:hAnsi="Calibri" w:cs="Calibri"/>
        <w:sz w:val="22"/>
        <w:szCs w:val="22"/>
      </w:rPr>
      <w:fldChar w:fldCharType="separate"/>
    </w:r>
    <w:r w:rsidR="004D7F55">
      <w:rPr>
        <w:rFonts w:ascii="Calibri" w:hAnsi="Calibri" w:cs="Calibri"/>
        <w:noProof/>
        <w:sz w:val="22"/>
        <w:szCs w:val="22"/>
      </w:rPr>
      <w:t>1</w:t>
    </w:r>
    <w:r w:rsidRPr="0082375E">
      <w:rPr>
        <w:rFonts w:ascii="Calibri" w:hAnsi="Calibri" w:cs="Calibri"/>
        <w:noProof/>
        <w:sz w:val="22"/>
        <w:szCs w:val="22"/>
      </w:rPr>
      <w:fldChar w:fldCharType="end"/>
    </w:r>
  </w:p>
  <w:p w:rsidR="007934A7" w:rsidRDefault="00DD2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E1" w:rsidRDefault="00DD2CE1">
      <w:r>
        <w:separator/>
      </w:r>
    </w:p>
  </w:footnote>
  <w:footnote w:type="continuationSeparator" w:id="0">
    <w:p w:rsidR="00DD2CE1" w:rsidRDefault="00DD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7FD"/>
    <w:multiLevelType w:val="multilevel"/>
    <w:tmpl w:val="8F44C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A6A5E76"/>
    <w:multiLevelType w:val="multilevel"/>
    <w:tmpl w:val="22A697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31"/>
    <w:rsid w:val="004D7F55"/>
    <w:rsid w:val="00AB5231"/>
    <w:rsid w:val="00B445DA"/>
    <w:rsid w:val="00CB66CC"/>
    <w:rsid w:val="00D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31"/>
    <w:pPr>
      <w:ind w:left="720"/>
    </w:pPr>
    <w:rPr>
      <w:rFonts w:ascii="Arial" w:hAnsi="Arial" w:cs="Arial"/>
      <w:lang w:val="en-GB" w:eastAsia="en-US"/>
    </w:rPr>
  </w:style>
  <w:style w:type="paragraph" w:styleId="Footer">
    <w:name w:val="footer"/>
    <w:basedOn w:val="Normal"/>
    <w:link w:val="FooterChar"/>
    <w:uiPriority w:val="99"/>
    <w:rsid w:val="00AB5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3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AB523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B52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523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3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31"/>
    <w:pPr>
      <w:ind w:left="720"/>
    </w:pPr>
    <w:rPr>
      <w:rFonts w:ascii="Arial" w:hAnsi="Arial" w:cs="Arial"/>
      <w:lang w:val="en-GB" w:eastAsia="en-US"/>
    </w:rPr>
  </w:style>
  <w:style w:type="paragraph" w:styleId="Footer">
    <w:name w:val="footer"/>
    <w:basedOn w:val="Normal"/>
    <w:link w:val="FooterChar"/>
    <w:uiPriority w:val="99"/>
    <w:rsid w:val="00AB5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3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AB523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B52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523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3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cup.org.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kra.belcheva@cup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up.org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Belcheva</dc:creator>
  <cp:lastModifiedBy>Iskra Belcheva</cp:lastModifiedBy>
  <cp:revision>2</cp:revision>
  <dcterms:created xsi:type="dcterms:W3CDTF">2017-04-13T09:33:00Z</dcterms:created>
  <dcterms:modified xsi:type="dcterms:W3CDTF">2017-04-13T09:33:00Z</dcterms:modified>
</cp:coreProperties>
</file>